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黑体" w:eastAsia="黑体"/>
          <w:color w:val="000000"/>
          <w:sz w:val="30"/>
          <w:szCs w:val="30"/>
        </w:rPr>
      </w:pPr>
      <w:r>
        <w:rPr>
          <w:rFonts w:hint="eastAsia" w:ascii="黑体" w:eastAsia="黑体"/>
          <w:color w:val="000000"/>
          <w:sz w:val="30"/>
          <w:szCs w:val="30"/>
        </w:rPr>
        <w:t>附件1</w:t>
      </w:r>
    </w:p>
    <w:p>
      <w:pPr>
        <w:rPr>
          <w:rFonts w:hint="eastAsia" w:ascii="黑体" w:eastAsia="黑体"/>
          <w:color w:val="000000"/>
          <w:sz w:val="30"/>
          <w:szCs w:val="30"/>
        </w:rPr>
      </w:pPr>
    </w:p>
    <w:p>
      <w:pPr>
        <w:snapToGrid w:val="0"/>
        <w:jc w:val="center"/>
        <w:rPr>
          <w:rFonts w:hint="eastAsia" w:ascii="方正小标宋简体" w:eastAsia="方正小标宋简体"/>
          <w:color w:val="000000"/>
          <w:sz w:val="44"/>
          <w:szCs w:val="44"/>
        </w:rPr>
      </w:pPr>
      <w:r>
        <w:rPr>
          <w:rFonts w:hint="eastAsia" w:ascii="方正小标宋简体" w:eastAsia="方正小标宋简体"/>
          <w:color w:val="000000"/>
          <w:sz w:val="44"/>
          <w:szCs w:val="44"/>
        </w:rPr>
        <w:t>河南省大中专院校就业创业课题指南</w:t>
      </w:r>
    </w:p>
    <w:p>
      <w:pPr>
        <w:ind w:firstLine="620" w:firstLineChars="200"/>
        <w:rPr>
          <w:rFonts w:hint="eastAsia" w:eastAsia="黑体"/>
          <w:color w:val="000000"/>
          <w:sz w:val="30"/>
          <w:szCs w:val="30"/>
        </w:rPr>
      </w:pPr>
    </w:p>
    <w:p>
      <w:pPr>
        <w:ind w:firstLine="620" w:firstLineChars="200"/>
        <w:rPr>
          <w:rFonts w:eastAsia="黑体"/>
          <w:color w:val="000000"/>
          <w:sz w:val="30"/>
          <w:szCs w:val="30"/>
        </w:rPr>
      </w:pPr>
      <w:r>
        <w:rPr>
          <w:rFonts w:hint="eastAsia" w:eastAsia="黑体"/>
          <w:color w:val="000000"/>
          <w:sz w:val="30"/>
          <w:szCs w:val="30"/>
        </w:rPr>
        <w:t>一、重点课题</w:t>
      </w:r>
    </w:p>
    <w:p>
      <w:pPr>
        <w:ind w:firstLine="620" w:firstLineChars="200"/>
        <w:rPr>
          <w:rFonts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（一）河南省高校就业创业课程建设问题研究；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（二）高校财政经费核拨机制改革背景下，毕业生就业竞争力系数研究；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（三）高校未就业毕业生统计反馈机制研究；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（四）高校创新创业教育与专业教育有机融合研究；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（五）不同类别高校就业创业指导服务研究；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（六）提升大学生征兵入伍率工作机制研究。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（七）全省经济社会发展对普通高校毕业生的需求预测研究。</w:t>
      </w:r>
    </w:p>
    <w:p>
      <w:pPr>
        <w:ind w:firstLine="620" w:firstLineChars="200"/>
        <w:rPr>
          <w:rFonts w:hint="eastAsia" w:eastAsia="黑体"/>
          <w:color w:val="000000"/>
          <w:sz w:val="30"/>
          <w:szCs w:val="30"/>
        </w:rPr>
      </w:pPr>
      <w:r>
        <w:rPr>
          <w:rFonts w:hint="eastAsia" w:eastAsia="黑体"/>
          <w:color w:val="000000"/>
          <w:sz w:val="30"/>
          <w:szCs w:val="30"/>
        </w:rPr>
        <w:t>二、一般课题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(一) 深化高校创新创业教育改革研究</w:t>
      </w:r>
    </w:p>
    <w:p>
      <w:pPr>
        <w:ind w:firstLine="620" w:firstLineChars="200"/>
        <w:rPr>
          <w:rFonts w:hint="eastAsia" w:ascii="仿宋_GB2312" w:eastAsia="仿宋_GB2312"/>
          <w:color w:val="000000"/>
          <w:sz w:val="30"/>
          <w:szCs w:val="30"/>
        </w:rPr>
      </w:pPr>
      <w:r>
        <w:rPr>
          <w:rFonts w:hint="eastAsia" w:ascii="仿宋_GB2312" w:eastAsia="仿宋_GB2312"/>
          <w:color w:val="000000"/>
          <w:sz w:val="30"/>
          <w:szCs w:val="30"/>
        </w:rPr>
        <w:t>完善人才培养质量标准研究；健全创新创业教育课程体系研究；创新人才培养机制研究；高校创新创业教育模式研究；高校创新创业教育教学改革方法和考核方式研究；教师创新创业教育教学能力提升研究；创新创业资金支持和政策保障体系的完善研究；深化高等学校创新创业教育改革的组织保障研究；高校创新创业教育在人才培养中的作用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(二) 大学生创新创业实践问题研究</w:t>
      </w:r>
    </w:p>
    <w:p>
      <w:pPr>
        <w:ind w:firstLine="620" w:firstLineChars="200"/>
        <w:rPr>
          <w:rFonts w:hint="eastAsia" w:ascii="仿宋_GB2312" w:eastAsia="仿宋_GB2312"/>
          <w:color w:val="000000"/>
          <w:sz w:val="30"/>
          <w:szCs w:val="30"/>
        </w:rPr>
      </w:pPr>
      <w:r>
        <w:rPr>
          <w:rFonts w:hint="eastAsia" w:ascii="仿宋_GB2312" w:eastAsia="仿宋_GB2312"/>
          <w:color w:val="000000"/>
          <w:sz w:val="30"/>
          <w:szCs w:val="30"/>
        </w:rPr>
        <w:t>大学生创业指导服务提升研究；“互联网+众创空间”创业教育模式研究；“互联网+”项目的创业研究；“互联网+”大学生创新创业大赛在创业实践中的作用研究；创新创业政策保障机制研究；创新创业场地建设和资金问题研究；大学生创新创业平台研究；创新创业导师库建设研究；四位一体”大学生创业服务体系实践探索研究；创业实践在大学生创业工作中的作用研究；SIYB培训在高校实施中的研究；全省大学生创业培训（职业技能）政策落实与实践研究等；高校大学生创业园孵化体系研究；创业孵化项目层次和孵化质量提升研究；大学生创业实践活动的模式研究；创业资金（基金）的管理和有效使用研究；创新创业服务质量提升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（三）高校毕业生高质量就业问题研究</w:t>
      </w:r>
    </w:p>
    <w:p>
      <w:pPr>
        <w:ind w:firstLine="620" w:firstLineChars="200"/>
        <w:rPr>
          <w:rFonts w:hint="eastAsia" w:ascii="仿宋_GB2312" w:hAnsi="华文中宋" w:eastAsia="仿宋_GB2312"/>
          <w:color w:val="000000"/>
          <w:sz w:val="30"/>
          <w:szCs w:val="30"/>
        </w:rPr>
      </w:pPr>
      <w:r>
        <w:rPr>
          <w:rFonts w:hint="eastAsia" w:ascii="仿宋_GB2312" w:hAnsi="华文中宋" w:eastAsia="仿宋_GB2312"/>
          <w:color w:val="000000"/>
          <w:sz w:val="30"/>
          <w:szCs w:val="30"/>
        </w:rPr>
        <w:t>高校毕业生就业精准服务研究；职业发展教育学科体系建设与创新研究；高校就业创业课程在人才培养中的地位、作用研究；提升高校毕业生就业服务质量的探索和实践研究；高校就业指导课程内涵提升研究；分层次、分类别高校就业指导教材研发研究；高校毕业生高质量就业的内涵及外延研究；不同类型高校实现毕业生高质量就业的评价方法和有效途径研究；大学生就业分类指导问题研究；毕业生充分就业与高质量就业比较研究；高校毕业生就业质量状况发布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（四）毕业生就业服务体系建设研究</w:t>
      </w:r>
    </w:p>
    <w:p>
      <w:pPr>
        <w:ind w:firstLine="620" w:firstLineChars="200"/>
        <w:rPr>
          <w:rFonts w:hint="eastAsia" w:ascii="仿宋_GB2312" w:eastAsia="仿宋_GB2312"/>
          <w:color w:val="000000"/>
          <w:sz w:val="30"/>
          <w:szCs w:val="30"/>
        </w:rPr>
      </w:pPr>
      <w:r>
        <w:rPr>
          <w:rFonts w:hint="eastAsia" w:ascii="仿宋_GB2312" w:eastAsia="仿宋_GB2312"/>
          <w:color w:val="000000"/>
          <w:sz w:val="30"/>
          <w:szCs w:val="30"/>
        </w:rPr>
        <w:t>大学生就业指导服务提升研究；新常态下发挥校园市场主渠道和基础性作用研究；高校校园市场间互联互通、资源共享研究；搭建校企对接、校市对接等基层就业信息平台研究；高校毕业生就业指导机构内涵建设研究；行业协会在大学生就业工作中的作用研究；毕业生就业工作评估体系研究；毕业生校园市场建设研究；毕业生就业市场、劳动力市场、人才市场的互通互联、资源共享协调机制研究；毕业生就业市场运行模式和评价机制研究；区域性毕业生就业市场联动机制建设研究；国外毕业生就业市场建设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（五）以就业和经济社会发展需求为导向的教育教学改革研究</w:t>
      </w:r>
    </w:p>
    <w:p>
      <w:pPr>
        <w:ind w:firstLine="620" w:firstLineChars="200"/>
        <w:rPr>
          <w:rFonts w:hint="eastAsia" w:ascii="仿宋_GB2312" w:hAnsi="华文中宋" w:eastAsia="仿宋_GB2312"/>
          <w:color w:val="000000"/>
          <w:sz w:val="30"/>
          <w:szCs w:val="30"/>
        </w:rPr>
      </w:pPr>
      <w:r>
        <w:rPr>
          <w:rFonts w:hint="eastAsia" w:ascii="仿宋_GB2312" w:hAnsi="华文中宋" w:eastAsia="仿宋_GB2312"/>
          <w:color w:val="000000"/>
          <w:sz w:val="30"/>
          <w:szCs w:val="30"/>
        </w:rPr>
        <w:t>人才培养的联动机制研究；人才培养与社会需求间的协同问题研究；高校与高校的协同问题研究；高校与社会的协同问题研究；高校与政府间的协同问题研究；校政企协同、深入融合、合作发展问题支持大学生就业研究；高校多层次、多渠道协同育人和大学生就业研究；大学生职业素养与就业能力培养研究；毕业生就业与学校可持续发展关系研究；毕业生就业与学校专业设置研究；毕业生就业与学校办学方向和人才培养模式改革研究；毕业生就业见习、实习基地建设研究；毕业生就业观念研究；重点支持行业、区域等所需专业人才研究；高校就业质量年度报告分析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（六）就业指导学科体系和课程研究</w:t>
      </w:r>
    </w:p>
    <w:p>
      <w:pPr>
        <w:ind w:firstLine="620" w:firstLineChars="200"/>
        <w:rPr>
          <w:rFonts w:hint="eastAsia" w:ascii="仿宋_GB2312" w:hAnsi="华文中宋" w:eastAsia="仿宋_GB2312"/>
          <w:color w:val="000000"/>
          <w:sz w:val="30"/>
          <w:szCs w:val="30"/>
        </w:rPr>
      </w:pPr>
      <w:r>
        <w:rPr>
          <w:rFonts w:hint="eastAsia" w:ascii="仿宋_GB2312" w:hAnsi="华文中宋" w:eastAsia="仿宋_GB2312"/>
          <w:color w:val="000000"/>
          <w:sz w:val="30"/>
          <w:szCs w:val="30"/>
        </w:rPr>
        <w:t>大学生职业发展教育及毕业生就业工作文献研究；本土化的就业创业学科体系研究；就业创业学科研究对象、研究方法和应用领域研究；就业指导课程的发展研究；学科体系建设与发展的具体策略及实施条件研究；职业能力测评与职业生涯教育研究；职业指导内容与方式研究；中外大学生生涯教育比较研究；高校就业指导教育基本经验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（七）毕业生就业信息化建设与政策研究</w:t>
      </w:r>
    </w:p>
    <w:p>
      <w:pPr>
        <w:ind w:firstLine="620" w:firstLineChars="200"/>
        <w:rPr>
          <w:rFonts w:hint="eastAsia" w:ascii="仿宋_GB2312" w:hAnsi="华文中宋" w:eastAsia="仿宋_GB2312"/>
          <w:color w:val="000000"/>
          <w:sz w:val="30"/>
          <w:szCs w:val="30"/>
        </w:rPr>
      </w:pPr>
      <w:r>
        <w:rPr>
          <w:rFonts w:hint="eastAsia" w:ascii="仿宋_GB2312" w:hAnsi="华文中宋" w:eastAsia="仿宋_GB2312"/>
          <w:color w:val="000000"/>
          <w:sz w:val="30"/>
          <w:szCs w:val="30"/>
        </w:rPr>
        <w:t>高校毕业生“智慧就业”服务平台研究；拓展就业监测系统功能；多样化、特色化、常态化的校园招聘服务体系研究；利用“互联网+”技术实现信息共享研究；发挥信息网络技术在毕业生就业双选中的作用研究；大数据时代就业信息网络体系建设研究；多样化、特色化、常态化的校园招聘服务体系研究；个性化网络就业指导服务研究；分行业、分区域毕业生就业状况及预警机制研究；毕业生就业状况评价和反馈机制研究；高校毕业生应征入伍制度政策研究；高校大学生征兵工作机制研究；促进高校毕业生就业创业政策的针对性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（八）就业创业指导师资队伍建设研究</w:t>
      </w:r>
    </w:p>
    <w:p>
      <w:pPr>
        <w:ind w:firstLine="620" w:firstLineChars="200"/>
        <w:rPr>
          <w:rFonts w:hint="eastAsia" w:ascii="仿宋_GB2312" w:hAnsi="华文中宋" w:eastAsia="仿宋_GB2312"/>
          <w:color w:val="000000"/>
          <w:sz w:val="30"/>
          <w:szCs w:val="30"/>
        </w:rPr>
      </w:pPr>
      <w:r>
        <w:rPr>
          <w:rFonts w:hint="eastAsia" w:ascii="仿宋_GB2312" w:hAnsi="华文中宋" w:eastAsia="仿宋_GB2312"/>
          <w:color w:val="000000"/>
          <w:sz w:val="30"/>
          <w:szCs w:val="30"/>
        </w:rPr>
        <w:t>职业化、专业化、专家化的就业指导师资队伍建设研究；就业创业指导师资队伍和机构建设研究；就业创业指导师资队伍培训研究；河南省就业创业指导队伍建设研究；高校就业指导师资队伍的专业发展研究；就业创业指导师资队伍结构研究；河南省高校就业指导专业技术职称现状及发展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（九）特殊群体毕业生就业帮扶问题研究</w:t>
      </w:r>
    </w:p>
    <w:p>
      <w:pPr>
        <w:ind w:firstLine="620" w:firstLineChars="200"/>
        <w:rPr>
          <w:rFonts w:hint="eastAsia" w:ascii="仿宋_GB2312" w:hAnsi="华文中宋" w:eastAsia="仿宋_GB2312"/>
          <w:color w:val="000000"/>
          <w:sz w:val="30"/>
          <w:szCs w:val="30"/>
        </w:rPr>
      </w:pPr>
      <w:r>
        <w:rPr>
          <w:rFonts w:hint="eastAsia" w:ascii="仿宋_GB2312" w:hAnsi="华文中宋" w:eastAsia="仿宋_GB2312"/>
          <w:color w:val="000000"/>
          <w:sz w:val="30"/>
          <w:szCs w:val="30"/>
        </w:rPr>
        <w:t>高校就业精准帮扶采取的措施研究；特殊群体帮扶中的“一生一策”动态管理研究；特殊群体毕业生心理状况研究；未就业毕业生的精准帮扶实践研究；有就业意愿未就业的毕业生精准帮扶实践研究；特殊群体毕业生面临问题研究；提高特殊群体毕业生就业创业能力研究；特殊群体毕业生就业援助体系研究；特殊困难群体毕业生就业帮扶策略问题研究；特殊群体就业帮扶工作的格局研究。</w:t>
      </w:r>
    </w:p>
    <w:p>
      <w:pPr>
        <w:ind w:firstLine="620" w:firstLineChars="200"/>
        <w:rPr>
          <w:rFonts w:hint="eastAsia" w:ascii="楷体_GB2312" w:eastAsia="楷体_GB2312"/>
          <w:color w:val="000000"/>
          <w:sz w:val="30"/>
          <w:szCs w:val="30"/>
        </w:rPr>
      </w:pPr>
      <w:r>
        <w:rPr>
          <w:rFonts w:hint="eastAsia" w:ascii="楷体_GB2312" w:eastAsia="楷体_GB2312"/>
          <w:color w:val="000000"/>
          <w:sz w:val="30"/>
          <w:szCs w:val="30"/>
        </w:rPr>
        <w:t>（十）毕业生基层就业项目实施状况及保障机制研究</w:t>
      </w:r>
    </w:p>
    <w:p>
      <w:pPr>
        <w:ind w:firstLine="620" w:firstLineChars="200"/>
        <w:rPr>
          <w:rFonts w:hint="eastAsia" w:ascii="仿宋_GB2312" w:hAnsi="华文中宋" w:eastAsia="仿宋_GB2312"/>
          <w:color w:val="000000"/>
          <w:sz w:val="30"/>
          <w:szCs w:val="30"/>
        </w:rPr>
      </w:pPr>
      <w:r>
        <w:rPr>
          <w:rFonts w:hint="eastAsia" w:ascii="仿宋_GB2312" w:hAnsi="华文中宋" w:eastAsia="仿宋_GB2312"/>
          <w:color w:val="000000"/>
          <w:sz w:val="30"/>
          <w:szCs w:val="30"/>
        </w:rPr>
        <w:t>开发实施毕业生基层就业新项目研究；搭建校企对接、校市对接等基层就业信息平台研究；毕业生到基层就业现状、发展研究；毕业生基层就业的跟踪服务研究；毕业生基层就业渠道研究；毕业生基层就业的组织、引导和教育研究；毕业生基层就业的外部扶持环境研究；毕业生基层就业的职业发展问题研究；不同形式的毕业生基层就业问题研究。</w:t>
      </w:r>
    </w:p>
    <w:p>
      <w:pPr>
        <w:ind w:firstLine="620" w:firstLineChars="200"/>
        <w:rPr>
          <w:rFonts w:hint="eastAsia" w:ascii="仿宋_GB2312" w:eastAsia="仿宋_GB2312"/>
          <w:color w:val="000000"/>
          <w:sz w:val="30"/>
          <w:szCs w:val="30"/>
        </w:rPr>
      </w:pPr>
    </w:p>
    <w:p>
      <w:pPr>
        <w:ind w:firstLine="620" w:firstLineChars="200"/>
        <w:rPr>
          <w:rFonts w:hint="eastAsia" w:ascii="仿宋_GB2312" w:eastAsia="仿宋_GB2312"/>
          <w:color w:val="000000"/>
          <w:sz w:val="30"/>
          <w:szCs w:val="30"/>
        </w:rPr>
      </w:pP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微软雅黑">
    <w:panose1 w:val="020B0503020204020204"/>
    <w:charset w:val="86"/>
    <w:family w:val="decorative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swiss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Tahoma">
    <w:panose1 w:val="020B0604030504040204"/>
    <w:charset w:val="00"/>
    <w:family w:val="decorative"/>
    <w:pitch w:val="default"/>
    <w:sig w:usb0="61007A87" w:usb1="80000000" w:usb2="00000008" w:usb3="00000000" w:csb0="200101FF" w:csb1="2028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90B64"/>
    <w:rsid w:val="70590B6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link w:val="4"/>
    <w:semiHidden/>
    <w:uiPriority w:val="0"/>
    <w:rPr>
      <w:rFonts w:ascii="Tahoma" w:hAnsi="Tahoma"/>
      <w:sz w:val="24"/>
      <w:szCs w:val="20"/>
    </w:rPr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4">
    <w:name w:val=" Char Char1 Char Char Char Char Char"/>
    <w:basedOn w:val="1"/>
    <w:link w:val="3"/>
    <w:qFormat/>
    <w:uiPriority w:val="0"/>
    <w:rPr>
      <w:rFonts w:ascii="Tahoma" w:hAnsi="Tahoma"/>
      <w:sz w:val="24"/>
      <w:szCs w:val="20"/>
    </w:rPr>
  </w:style>
  <w:style w:type="character" w:styleId="5">
    <w:name w:val="page number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2015-11-23T06:29:00Z</dcterms:created>
  <dc:creator>Administrator</dc:creator>
  <cp:lastModifiedBy>Administrator</cp:lastModifiedBy>
  <dcterms:modified xsi:type="dcterms:W3CDTF">2015-11-23T06:30:08Z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2052-10.1.0.5345</vt:lpwstr>
  </property>
</Properties>
</file>